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1325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75488" cy="53949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rganic-bean-mark-trimmed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488" cy="5394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30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526"/>
            </w:pPr>
            <w:r>
              <w:rPr>
                <w:rFonts w:ascii="Liberation Sans" w:hAnsi="Liberation Sans"/>
                <w:b/>
                <w:color w:val="0B1B30"/>
                <w:sz w:val="49"/>
              </w:rPr>
              <w:t>LAUREN (SCHLERF) DALY</w:t>
            </w:r>
          </w:p>
          <w:p>
            <w:pPr>
              <w:keepNext/>
              <w:spacing w:before="0" w:after="0" w:lineRule="exact" w:line="224"/>
            </w:pPr>
            <w:r>
              <w:rPr>
                <w:rFonts w:ascii="Liberation Sans" w:hAnsi="Liberation Sans"/>
                <w:b/>
                <w:color w:val="FF7145"/>
                <w:sz w:val="18"/>
              </w:rPr>
              <w:t>CREATIVE DIRECTOR  /  ART DIRECTOR  /  VISUAL COMMUNICATIONS</w:t>
            </w:r>
          </w:p>
          <w:p>
            <w:pPr>
              <w:keepNext w:val="0"/>
              <w:spacing w:before="0" w:after="0" w:lineRule="exact" w:line="204"/>
            </w:pPr>
            <w:r>
              <w:rPr>
                <w:rFonts w:ascii="Liberation Sans" w:hAnsi="Liberation Sans"/>
                <w:b w:val="0"/>
                <w:color w:val="52606F"/>
                <w:sz w:val="16"/>
              </w:rPr>
              <w:t>Haverhill, MA  /  267.250.1159  /  laurenschlerf@gmail.com  /  creativebean.org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tcMar>
              <w:top w:w="0" w:type="dxa"/>
              <w:start w:w="0" w:type="dxa"/>
              <w:bottom w:w="60" w:type="dxa"/>
              <w:end w:w="0" w:type="dxa"/>
            </w:tcMar>
            <w:tcBorders>
              <w:bottom w:val="single" w:sz="9" w:color="DEDEDB"/>
            </w:tcBorders>
          </w:tcPr>
          <w:p>
            <w:pPr>
              <w:keepNext/>
              <w:spacing w:before="120" w:after="100" w:lineRule="exact" w:line="230"/>
            </w:pPr>
            <w:r>
              <w:rPr>
                <w:rFonts w:ascii="Liberation Sans" w:hAnsi="Liberation Sans"/>
                <w:b/>
                <w:color w:val="0B1B30"/>
                <w:sz w:val="18"/>
              </w:rPr>
              <w:t>PROFESSIONAL PROFILE</w:t>
            </w:r>
          </w:p>
        </w:tc>
      </w:tr>
    </w:tbl>
    <w:p>
      <w:pPr>
        <w:keepNext w:val="0"/>
        <w:spacing w:before="0" w:after="80" w:lineRule="exact" w:line="247"/>
      </w:pPr>
      <w:r>
        <w:rPr>
          <w:rFonts w:ascii="Liberation Sans" w:hAnsi="Liberation Sans"/>
          <w:b w:val="0"/>
          <w:color w:val="52606F"/>
          <w:sz w:val="18"/>
        </w:rPr>
        <w:t>Senior creative leader with 25 years of experience translating complex technology, government, legal, healthcare, and business priorities into clear visual communications. Leads strategy and remains hands-on across brand systems, executive presentations, information design, websites, campaigns, motion, video, and events. Builds practical creative systems and AI-enabled workflows that improve speed and consistency while protecting accuracy, accessibility, and brand integrity. Active Top Secret clearance.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tcMar>
              <w:top w:w="0" w:type="dxa"/>
              <w:start w:w="0" w:type="dxa"/>
              <w:bottom w:w="60" w:type="dxa"/>
              <w:end w:w="0" w:type="dxa"/>
            </w:tcMar>
            <w:tcBorders>
              <w:bottom w:val="single" w:sz="9" w:color="DEDEDB"/>
            </w:tcBorders>
          </w:tcPr>
          <w:p>
            <w:pPr>
              <w:keepNext/>
              <w:spacing w:before="120" w:after="100" w:lineRule="exact" w:line="230"/>
            </w:pPr>
            <w:r>
              <w:rPr>
                <w:rFonts w:ascii="Liberation Sans" w:hAnsi="Liberation Sans"/>
                <w:b/>
                <w:color w:val="0B1B30"/>
                <w:sz w:val="18"/>
              </w:rPr>
              <w:t>CORE CAPABILITIES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c>
          <w:tcPr>
            <w:tcW w:type="dxa" w:w="3485"/>
            <w:tcMar>
              <w:top w:w="26" w:type="dxa"/>
              <w:start w:w="65" w:type="dxa"/>
              <w:bottom w:w="30" w:type="dxa"/>
              <w:end w:w="65" w:type="dxa"/>
            </w:tcMar>
          </w:tcPr>
          <w:p>
            <w:pPr>
              <w:keepNext w:val="0"/>
              <w:spacing w:before="0" w:after="0" w:lineRule="exact" w:line="192"/>
            </w:pPr>
            <w:r>
              <w:rPr>
                <w:rFonts w:ascii="Liberation Sans" w:hAnsi="Liberation Sans"/>
                <w:b/>
                <w:color w:val="52606F"/>
                <w:sz w:val="15"/>
              </w:rPr>
              <w:t>Creative direction and art direction</w:t>
            </w:r>
          </w:p>
        </w:tc>
        <w:tc>
          <w:tcPr>
            <w:tcW w:type="dxa" w:w="3485"/>
            <w:tcMar>
              <w:top w:w="26" w:type="dxa"/>
              <w:start w:w="65" w:type="dxa"/>
              <w:bottom w:w="30" w:type="dxa"/>
              <w:end w:w="65" w:type="dxa"/>
            </w:tcMar>
          </w:tcPr>
          <w:p>
            <w:pPr>
              <w:keepNext w:val="0"/>
              <w:spacing w:before="0" w:after="0" w:lineRule="exact" w:line="192"/>
            </w:pPr>
            <w:r>
              <w:rPr>
                <w:rFonts w:ascii="Liberation Sans" w:hAnsi="Liberation Sans"/>
                <w:b/>
                <w:color w:val="52606F"/>
                <w:sz w:val="15"/>
              </w:rPr>
              <w:t>Information design and data visualization</w:t>
            </w:r>
          </w:p>
        </w:tc>
        <w:tc>
          <w:tcPr>
            <w:tcW w:type="dxa" w:w="3485"/>
            <w:tcMar>
              <w:top w:w="26" w:type="dxa"/>
              <w:start w:w="65" w:type="dxa"/>
              <w:bottom w:w="30" w:type="dxa"/>
              <w:end w:w="65" w:type="dxa"/>
            </w:tcMar>
          </w:tcPr>
          <w:p>
            <w:pPr>
              <w:keepNext w:val="0"/>
              <w:spacing w:before="0" w:after="0" w:lineRule="exact" w:line="192"/>
            </w:pPr>
            <w:r>
              <w:rPr>
                <w:rFonts w:ascii="Liberation Sans" w:hAnsi="Liberation Sans"/>
                <w:b/>
                <w:color w:val="52606F"/>
                <w:sz w:val="15"/>
              </w:rPr>
              <w:t>Brand systems and campaigns</w:t>
            </w:r>
          </w:p>
        </w:tc>
      </w:tr>
      <w:tr>
        <w:tc>
          <w:tcPr>
            <w:tcW w:type="dxa" w:w="3485"/>
            <w:tcMar>
              <w:top w:w="26" w:type="dxa"/>
              <w:start w:w="65" w:type="dxa"/>
              <w:bottom w:w="30" w:type="dxa"/>
              <w:end w:w="65" w:type="dxa"/>
            </w:tcMar>
          </w:tcPr>
          <w:p>
            <w:pPr>
              <w:keepNext w:val="0"/>
              <w:spacing w:before="0" w:after="0" w:lineRule="exact" w:line="192"/>
            </w:pPr>
            <w:r>
              <w:rPr>
                <w:rFonts w:ascii="Liberation Sans" w:hAnsi="Liberation Sans"/>
                <w:b/>
                <w:color w:val="52606F"/>
                <w:sz w:val="15"/>
              </w:rPr>
              <w:t>Executive presentations and proposals</w:t>
            </w:r>
          </w:p>
        </w:tc>
        <w:tc>
          <w:tcPr>
            <w:tcW w:type="dxa" w:w="3485"/>
            <w:tcMar>
              <w:top w:w="26" w:type="dxa"/>
              <w:start w:w="65" w:type="dxa"/>
              <w:bottom w:w="30" w:type="dxa"/>
              <w:end w:w="65" w:type="dxa"/>
            </w:tcMar>
          </w:tcPr>
          <w:p>
            <w:pPr>
              <w:keepNext w:val="0"/>
              <w:spacing w:before="0" w:after="0" w:lineRule="exact" w:line="192"/>
            </w:pPr>
            <w:r>
              <w:rPr>
                <w:rFonts w:ascii="Liberation Sans" w:hAnsi="Liberation Sans"/>
                <w:b/>
                <w:color w:val="52606F"/>
                <w:sz w:val="15"/>
              </w:rPr>
              <w:t>Website and UX direction</w:t>
            </w:r>
          </w:p>
        </w:tc>
        <w:tc>
          <w:tcPr>
            <w:tcW w:type="dxa" w:w="3485"/>
            <w:tcMar>
              <w:top w:w="26" w:type="dxa"/>
              <w:start w:w="65" w:type="dxa"/>
              <w:bottom w:w="30" w:type="dxa"/>
              <w:end w:w="65" w:type="dxa"/>
            </w:tcMar>
          </w:tcPr>
          <w:p>
            <w:pPr>
              <w:keepNext w:val="0"/>
              <w:spacing w:before="0" w:after="0" w:lineRule="exact" w:line="192"/>
            </w:pPr>
            <w:r>
              <w:rPr>
                <w:rFonts w:ascii="Liberation Sans" w:hAnsi="Liberation Sans"/>
                <w:b/>
                <w:color w:val="52606F"/>
                <w:sz w:val="15"/>
              </w:rPr>
              <w:t>Motion, video and multimedia</w:t>
            </w:r>
          </w:p>
        </w:tc>
      </w:tr>
      <w:tr>
        <w:tc>
          <w:tcPr>
            <w:tcW w:type="dxa" w:w="3485"/>
            <w:tcMar>
              <w:top w:w="26" w:type="dxa"/>
              <w:start w:w="65" w:type="dxa"/>
              <w:bottom w:w="30" w:type="dxa"/>
              <w:end w:w="65" w:type="dxa"/>
            </w:tcMar>
          </w:tcPr>
          <w:p>
            <w:pPr>
              <w:keepNext w:val="0"/>
              <w:spacing w:before="0" w:after="0" w:lineRule="exact" w:line="192"/>
            </w:pPr>
            <w:r>
              <w:rPr>
                <w:rFonts w:ascii="Liberation Sans" w:hAnsi="Liberation Sans"/>
                <w:b/>
                <w:color w:val="52606F"/>
                <w:sz w:val="15"/>
              </w:rPr>
              <w:t>Creative operations and team leadership</w:t>
            </w:r>
          </w:p>
        </w:tc>
        <w:tc>
          <w:tcPr>
            <w:tcW w:type="dxa" w:w="3485"/>
            <w:tcMar>
              <w:top w:w="26" w:type="dxa"/>
              <w:start w:w="65" w:type="dxa"/>
              <w:bottom w:w="30" w:type="dxa"/>
              <w:end w:w="65" w:type="dxa"/>
            </w:tcMar>
          </w:tcPr>
          <w:p>
            <w:pPr>
              <w:keepNext w:val="0"/>
              <w:spacing w:before="0" w:after="0" w:lineRule="exact" w:line="192"/>
            </w:pPr>
            <w:r>
              <w:rPr>
                <w:rFonts w:ascii="Liberation Sans" w:hAnsi="Liberation Sans"/>
                <w:b/>
                <w:color w:val="52606F"/>
                <w:sz w:val="15"/>
              </w:rPr>
              <w:t>AI-enabled creative workflows</w:t>
            </w:r>
          </w:p>
        </w:tc>
        <w:tc>
          <w:tcPr>
            <w:tcW w:type="dxa" w:w="3485"/>
            <w:tcMar>
              <w:top w:w="26" w:type="dxa"/>
              <w:start w:w="65" w:type="dxa"/>
              <w:bottom w:w="30" w:type="dxa"/>
              <w:end w:w="65" w:type="dxa"/>
            </w:tcMar>
          </w:tcPr>
          <w:p>
            <w:pPr>
              <w:keepNext w:val="0"/>
              <w:spacing w:before="0" w:after="0" w:lineRule="exact" w:line="192"/>
            </w:pPr>
            <w:r>
              <w:rPr>
                <w:rFonts w:ascii="Liberation Sans" w:hAnsi="Liberation Sans"/>
                <w:b/>
                <w:color w:val="52606F"/>
                <w:sz w:val="15"/>
              </w:rPr>
              <w:t>Section 508 and WCAG-aware design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tcMar>
              <w:top w:w="0" w:type="dxa"/>
              <w:start w:w="0" w:type="dxa"/>
              <w:bottom w:w="60" w:type="dxa"/>
              <w:end w:w="0" w:type="dxa"/>
            </w:tcMar>
            <w:tcBorders>
              <w:bottom w:val="single" w:sz="9" w:color="DEDEDB"/>
            </w:tcBorders>
          </w:tcPr>
          <w:p>
            <w:pPr>
              <w:keepNext/>
              <w:spacing w:before="100" w:after="100" w:lineRule="exact" w:line="230"/>
            </w:pPr>
            <w:r>
              <w:rPr>
                <w:rFonts w:ascii="Liberation Sans" w:hAnsi="Liberation Sans"/>
                <w:b/>
                <w:color w:val="0B1B30"/>
                <w:sz w:val="18"/>
              </w:rPr>
              <w:t>PROFESSIONAL EXPERIENCE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8035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44"/>
              <w:jc w:val="left"/>
            </w:pPr>
            <w:r>
              <w:rPr>
                <w:rFonts w:ascii="Liberation Sans" w:hAnsi="Liberation Sans"/>
                <w:b/>
                <w:color w:val="0B1B30"/>
                <w:sz w:val="20"/>
              </w:rPr>
              <w:t>CREATIVE BEAN LLC / INDEPENDENT CONSULTING</w:t>
            </w:r>
          </w:p>
        </w:tc>
        <w:tc>
          <w:tcPr>
            <w:tcW w:type="dxa" w:w="2419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08"/>
              <w:jc w:val="right"/>
            </w:pPr>
            <w:r>
              <w:rPr>
                <w:rFonts w:ascii="Liberation Sans" w:hAnsi="Liberation Sans"/>
                <w:b/>
                <w:color w:val="52606F"/>
                <w:sz w:val="16"/>
              </w:rPr>
              <w:t>Greater Boston / Remote</w:t>
            </w:r>
          </w:p>
        </w:tc>
      </w:tr>
      <w:tr>
        <w:tc>
          <w:tcPr>
            <w:tcW w:type="dxa" w:w="8035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22"/>
              <w:jc w:val="left"/>
            </w:pPr>
            <w:r>
              <w:rPr>
                <w:rFonts w:ascii="Liberation Sans" w:hAnsi="Liberation Sans"/>
                <w:b/>
                <w:color w:val="52606F"/>
                <w:sz w:val="17"/>
              </w:rPr>
              <w:t>Senior Creative Director and Visual Communications Consultant</w:t>
            </w:r>
          </w:p>
        </w:tc>
        <w:tc>
          <w:tcPr>
            <w:tcW w:type="dxa" w:w="2419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08"/>
              <w:jc w:val="right"/>
            </w:pPr>
            <w:r>
              <w:rPr>
                <w:rFonts w:ascii="Liberation Sans" w:hAnsi="Liberation Sans"/>
                <w:b/>
                <w:color w:val="52606F"/>
                <w:sz w:val="16"/>
              </w:rPr>
              <w:t>2020-Present</w:t>
            </w:r>
          </w:p>
        </w:tc>
      </w:tr>
    </w:tbl>
    <w:p>
      <w:pPr>
        <w:pStyle w:val="ListBullet"/>
        <w:keepNext/>
        <w:spacing w:before="0" w:after="5" w:lineRule="exact" w:line="231"/>
        <w:ind w:left="259" w:hanging="187"/>
      </w:pPr>
      <w:r>
        <w:rPr>
          <w:rFonts w:ascii="Liberation Sans" w:hAnsi="Liberation Sans"/>
          <w:b w:val="0"/>
          <w:color w:val="52606F"/>
          <w:sz w:val="17"/>
        </w:rPr>
        <w:t>Lead creative strategy and hands-on execution for federal, defense technology, legal, education, healthcare, and growth-stage engagements across presentations, technical graphics, brand systems, web, campaigns, motion, and video.</w:t>
      </w:r>
    </w:p>
    <w:p>
      <w:pPr>
        <w:pStyle w:val="ListBullet"/>
        <w:keepNext/>
        <w:spacing w:before="0" w:after="5" w:lineRule="exact" w:line="231"/>
        <w:ind w:left="259" w:hanging="187"/>
      </w:pPr>
      <w:r>
        <w:rPr>
          <w:rFonts w:ascii="Liberation Sans" w:hAnsi="Liberation Sans"/>
          <w:b w:val="0"/>
          <w:color w:val="52606F"/>
          <w:sz w:val="17"/>
        </w:rPr>
        <w:t>Translate policy, acquisition, spectrum, research, legal, and operational content into accessible visual narratives for executives, technical experts, government stakeholders, and public audiences.</w:t>
      </w:r>
    </w:p>
    <w:p>
      <w:pPr>
        <w:pStyle w:val="ListBullet"/>
        <w:keepNext/>
        <w:spacing w:before="0" w:after="5" w:lineRule="exact" w:line="231"/>
        <w:ind w:left="259" w:hanging="187"/>
      </w:pPr>
      <w:r>
        <w:rPr>
          <w:rFonts w:ascii="Liberation Sans" w:hAnsi="Liberation Sans"/>
          <w:b w:val="0"/>
          <w:color w:val="52606F"/>
          <w:sz w:val="17"/>
        </w:rPr>
        <w:t>Build reusable templates, presentation systems, icon libraries, content structures, and review practices that help distributed teams produce consistent work faster.</w:t>
      </w:r>
    </w:p>
    <w:p>
      <w:pPr>
        <w:pStyle w:val="ListBullet"/>
        <w:keepNext/>
        <w:spacing w:before="0" w:after="5" w:lineRule="exact" w:line="231"/>
        <w:ind w:left="259" w:hanging="187"/>
      </w:pPr>
      <w:r>
        <w:rPr>
          <w:rFonts w:ascii="Liberation Sans" w:hAnsi="Liberation Sans"/>
          <w:b w:val="0"/>
          <w:color w:val="52606F"/>
          <w:sz w:val="17"/>
        </w:rPr>
        <w:t>Guide intake, scope, schedules, stakeholder reviews, vendors, accessibility, version control, and final quality across concurrent rapid-turn assignments.</w:t>
      </w:r>
    </w:p>
    <w:p>
      <w:pPr>
        <w:pStyle w:val="ListBullet"/>
        <w:keepNext w:val="0"/>
        <w:spacing w:before="0" w:after="5" w:lineRule="exact" w:line="231"/>
        <w:ind w:left="259" w:hanging="187"/>
      </w:pPr>
      <w:r>
        <w:rPr>
          <w:rFonts w:ascii="Liberation Sans" w:hAnsi="Liberation Sans"/>
          <w:b w:val="0"/>
          <w:color w:val="52606F"/>
          <w:sz w:val="17"/>
        </w:rPr>
        <w:t>Selected engagements include DHS, NTIA, IRS, U.S. Army ARCP, ManTech, WilmerHale, Steel Point Solutions, AMI, and technology companies.</w:t>
      </w:r>
    </w:p>
    <w:p>
      <w:pPr>
        <w:spacing w:after="100" w:line="2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8035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44"/>
              <w:jc w:val="left"/>
            </w:pPr>
            <w:r>
              <w:rPr>
                <w:rFonts w:ascii="Liberation Sans" w:hAnsi="Liberation Sans"/>
                <w:b/>
                <w:color w:val="0B1B30"/>
                <w:sz w:val="20"/>
              </w:rPr>
              <w:t>SYSTEMS AND TECHNOLOGY RESEARCH</w:t>
            </w:r>
          </w:p>
        </w:tc>
        <w:tc>
          <w:tcPr>
            <w:tcW w:type="dxa" w:w="2419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08"/>
              <w:jc w:val="right"/>
            </w:pPr>
            <w:r>
              <w:rPr>
                <w:rFonts w:ascii="Liberation Sans" w:hAnsi="Liberation Sans"/>
                <w:b/>
                <w:color w:val="52606F"/>
                <w:sz w:val="16"/>
              </w:rPr>
              <w:t>Woburn, MA</w:t>
            </w:r>
          </w:p>
        </w:tc>
      </w:tr>
      <w:tr>
        <w:tc>
          <w:tcPr>
            <w:tcW w:type="dxa" w:w="8035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22"/>
              <w:jc w:val="left"/>
            </w:pPr>
            <w:r>
              <w:rPr>
                <w:rFonts w:ascii="Liberation Sans" w:hAnsi="Liberation Sans"/>
                <w:b/>
                <w:color w:val="52606F"/>
                <w:sz w:val="17"/>
              </w:rPr>
              <w:t>Graphic Design Lead</w:t>
            </w:r>
          </w:p>
        </w:tc>
        <w:tc>
          <w:tcPr>
            <w:tcW w:type="dxa" w:w="2419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08"/>
              <w:jc w:val="right"/>
            </w:pPr>
            <w:r>
              <w:rPr>
                <w:rFonts w:ascii="Liberation Sans" w:hAnsi="Liberation Sans"/>
                <w:b/>
                <w:color w:val="52606F"/>
                <w:sz w:val="16"/>
              </w:rPr>
              <w:t>2017-2020</w:t>
            </w:r>
          </w:p>
        </w:tc>
      </w:tr>
    </w:tbl>
    <w:p>
      <w:pPr>
        <w:pStyle w:val="ListBullet"/>
        <w:keepNext/>
        <w:spacing w:before="0" w:after="5" w:lineRule="exact" w:line="231"/>
        <w:ind w:left="259" w:hanging="187"/>
      </w:pPr>
      <w:r>
        <w:rPr>
          <w:rFonts w:ascii="Liberation Sans" w:hAnsi="Liberation Sans"/>
          <w:b w:val="0"/>
          <w:color w:val="52606F"/>
          <w:sz w:val="17"/>
        </w:rPr>
        <w:t>Led brand and creative communications for a defense research and technology organization, creating recruiting campaigns, proposal graphics, executive presentations, infographics, UI concepts, technical illustrations, web content, motion, and video.</w:t>
      </w:r>
    </w:p>
    <w:p>
      <w:pPr>
        <w:pStyle w:val="ListBullet"/>
        <w:keepNext/>
        <w:spacing w:before="0" w:after="5" w:lineRule="exact" w:line="231"/>
        <w:ind w:left="259" w:hanging="187"/>
      </w:pPr>
      <w:r>
        <w:rPr>
          <w:rFonts w:ascii="Liberation Sans" w:hAnsi="Liberation Sans"/>
          <w:b w:val="0"/>
          <w:color w:val="52606F"/>
          <w:sz w:val="17"/>
        </w:rPr>
        <w:t>Directed a $30K public website redesign that increased recruiting engagement by 40% and a $40K SharePoint redesign that improved onboarding and access to essential information.</w:t>
      </w:r>
    </w:p>
    <w:p>
      <w:pPr>
        <w:pStyle w:val="ListBullet"/>
        <w:keepNext w:val="0"/>
        <w:spacing w:before="0" w:after="5" w:lineRule="exact" w:line="231"/>
        <w:ind w:left="259" w:hanging="187"/>
      </w:pPr>
      <w:r>
        <w:rPr>
          <w:rFonts w:ascii="Liberation Sans" w:hAnsi="Liberation Sans"/>
          <w:b w:val="0"/>
          <w:color w:val="52606F"/>
          <w:sz w:val="17"/>
        </w:rPr>
        <w:t>Established brand standards, advised technical and business leaders, coordinated creative contributors, and protected quality across high-visibility initiatives.</w:t>
      </w:r>
    </w:p>
    <w:p>
      <w:pPr>
        <w:spacing w:after="40" w:line="2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tcMar>
              <w:top w:w="0" w:type="dxa"/>
              <w:start w:w="0" w:type="dxa"/>
              <w:bottom w:w="60" w:type="dxa"/>
              <w:end w:w="0" w:type="dxa"/>
            </w:tcMar>
            <w:tcBorders>
              <w:bottom w:val="single" w:sz="9" w:color="DEDEDB"/>
            </w:tcBorders>
          </w:tcPr>
          <w:p>
            <w:pPr>
              <w:keepNext/>
              <w:spacing w:before="60" w:after="80" w:lineRule="exact" w:line="230"/>
            </w:pPr>
            <w:r>
              <w:rPr>
                <w:rFonts w:ascii="Liberation Sans" w:hAnsi="Liberation Sans"/>
                <w:b/>
                <w:color w:val="0B1B30"/>
                <w:sz w:val="18"/>
              </w:rPr>
              <w:t>SELECTED GOVERNMENT WORK</w:t>
            </w:r>
          </w:p>
        </w:tc>
      </w:tr>
    </w:tbl>
    <w:p>
      <w:pPr>
        <w:keepNext w:val="0"/>
        <w:spacing w:before="0" w:after="30" w:lineRule="exact" w:line="228"/>
      </w:pPr>
      <w:r>
        <w:rPr>
          <w:rFonts w:ascii="Liberation Sans" w:hAnsi="Liberation Sans"/>
          <w:b w:val="0"/>
          <w:color w:val="52606F"/>
          <w:sz w:val="17"/>
        </w:rPr>
        <w:t>DHS</w:t>
      </w:r>
      <w:r>
        <w:rPr>
          <w:rFonts w:ascii="Liberation Sans" w:hAnsi="Liberation Sans"/>
          <w:b w:val="0"/>
          <w:color w:val="52606F"/>
          <w:sz w:val="17"/>
        </w:rPr>
        <w:t xml:space="preserve">  /  Acquisition and executive communications supporting federal procurement audiences.</w:t>
      </w:r>
    </w:p>
    <w:p>
      <w:pPr>
        <w:keepNext w:val="0"/>
        <w:spacing w:before="0" w:after="30" w:lineRule="exact" w:line="228"/>
      </w:pPr>
      <w:r>
        <w:rPr>
          <w:rFonts w:ascii="Liberation Sans" w:hAnsi="Liberation Sans"/>
          <w:b w:val="0"/>
          <w:color w:val="52606F"/>
          <w:sz w:val="17"/>
        </w:rPr>
        <w:t>NTIA</w:t>
      </w:r>
      <w:r>
        <w:rPr>
          <w:rFonts w:ascii="Liberation Sans" w:hAnsi="Liberation Sans"/>
          <w:b w:val="0"/>
          <w:color w:val="52606F"/>
          <w:sz w:val="17"/>
        </w:rPr>
        <w:t xml:space="preserve">  /  Executive information design for a national spectrum reallocation program.</w:t>
      </w:r>
    </w:p>
    <w:p>
      <w:pPr>
        <w:keepNext w:val="0"/>
        <w:spacing w:before="0" w:after="30" w:lineRule="exact" w:line="228"/>
      </w:pPr>
      <w:r>
        <w:rPr>
          <w:rFonts w:ascii="Liberation Sans" w:hAnsi="Liberation Sans"/>
          <w:b w:val="0"/>
          <w:color w:val="52606F"/>
          <w:sz w:val="17"/>
        </w:rPr>
        <w:t>IRS</w:t>
      </w:r>
      <w:r>
        <w:rPr>
          <w:rFonts w:ascii="Liberation Sans" w:hAnsi="Liberation Sans"/>
          <w:b w:val="0"/>
          <w:color w:val="52606F"/>
          <w:sz w:val="17"/>
        </w:rPr>
        <w:t xml:space="preserve">  /  Motion and information design for an IT cloud transformation initiative.</w:t>
      </w:r>
    </w:p>
    <w:p>
      <w:pPr>
        <w:keepNext w:val="0"/>
        <w:spacing w:before="0" w:after="30" w:lineRule="exact" w:line="228"/>
      </w:pPr>
      <w:r>
        <w:rPr>
          <w:rFonts w:ascii="Liberation Sans" w:hAnsi="Liberation Sans"/>
          <w:b w:val="0"/>
          <w:color w:val="52606F"/>
          <w:sz w:val="17"/>
        </w:rPr>
        <w:t>U.S. Army ARCP</w:t>
      </w:r>
      <w:r>
        <w:rPr>
          <w:rFonts w:ascii="Liberation Sans" w:hAnsi="Liberation Sans"/>
          <w:b w:val="0"/>
          <w:color w:val="52606F"/>
          <w:sz w:val="17"/>
        </w:rPr>
        <w:t xml:space="preserve">  /  Brand, campaign, social, and multimedia communications for service members and stakeholders.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3528"/>
            <w:tcMar>
              <w:top w:w="0" w:type="dxa"/>
              <w:start w:w="0" w:type="dxa"/>
              <w:bottom w:w="75" w:type="dxa"/>
              <w:end w:w="0" w:type="dxa"/>
            </w:tcMar>
            <w:tcBorders>
              <w:bottom w:val="single" w:sz="8" w:color="DEDEDB"/>
            </w:tcBorders>
          </w:tcPr>
          <w:p>
            <w:pPr>
              <w:keepNext w:val="0"/>
              <w:spacing w:before="0" w:after="0" w:lineRule="exact" w:line="320"/>
            </w:pPr>
            <w:r>
              <w:rPr>
                <w:rFonts w:ascii="Liberation Sans" w:hAnsi="Liberation Sans"/>
                <w:b/>
                <w:color w:val="0B1B30"/>
                <w:sz w:val="28"/>
              </w:rPr>
              <w:t>LAUREN (SCHLERF) DALY</w:t>
            </w:r>
          </w:p>
        </w:tc>
        <w:tc>
          <w:tcPr>
            <w:tcW w:type="dxa" w:w="6926"/>
            <w:tcMar>
              <w:top w:w="0" w:type="dxa"/>
              <w:start w:w="0" w:type="dxa"/>
              <w:bottom w:w="75" w:type="dxa"/>
              <w:end w:w="0" w:type="dxa"/>
            </w:tcMar>
            <w:tcBorders>
              <w:bottom w:val="single" w:sz="8" w:color="DEDEDB"/>
            </w:tcBorders>
          </w:tcPr>
          <w:p>
            <w:pPr>
              <w:keepNext w:val="0"/>
              <w:spacing w:before="0" w:after="0" w:lineRule="exact" w:line="200"/>
              <w:jc w:val="right"/>
            </w:pPr>
            <w:r>
              <w:rPr>
                <w:rFonts w:ascii="Liberation Sans" w:hAnsi="Liberation Sans"/>
                <w:b/>
                <w:color w:val="0B1B30"/>
                <w:sz w:val="16"/>
              </w:rPr>
              <w:t>CREATIVE LEADERSHIP AND VISUAL STORYTELLING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tcMar>
              <w:top w:w="0" w:type="dxa"/>
              <w:start w:w="0" w:type="dxa"/>
              <w:bottom w:w="60" w:type="dxa"/>
              <w:end w:w="0" w:type="dxa"/>
            </w:tcMar>
            <w:tcBorders>
              <w:bottom w:val="single" w:sz="9" w:color="DEDEDB"/>
            </w:tcBorders>
          </w:tcPr>
          <w:p>
            <w:pPr>
              <w:keepNext/>
              <w:spacing w:before="160" w:after="120" w:lineRule="exact" w:line="230"/>
            </w:pPr>
            <w:r>
              <w:rPr>
                <w:rFonts w:ascii="Liberation Sans" w:hAnsi="Liberation Sans"/>
                <w:b/>
                <w:color w:val="0B1B30"/>
                <w:sz w:val="18"/>
              </w:rPr>
              <w:t>ADDITIONAL EXPERIENCE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8035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44"/>
              <w:jc w:val="left"/>
            </w:pPr>
            <w:r>
              <w:rPr>
                <w:rFonts w:ascii="Liberation Sans" w:hAnsi="Liberation Sans"/>
                <w:b/>
                <w:color w:val="0B1B30"/>
                <w:sz w:val="20"/>
              </w:rPr>
              <w:t>PAUL WEISS RIFKIND WHARTON AND GARRISON LLP</w:t>
            </w:r>
          </w:p>
        </w:tc>
        <w:tc>
          <w:tcPr>
            <w:tcW w:type="dxa" w:w="2419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08"/>
              <w:jc w:val="right"/>
            </w:pPr>
            <w:r>
              <w:rPr>
                <w:rFonts w:ascii="Liberation Sans" w:hAnsi="Liberation Sans"/>
                <w:b/>
                <w:color w:val="52606F"/>
                <w:sz w:val="16"/>
              </w:rPr>
              <w:t>New York, NY</w:t>
            </w:r>
          </w:p>
        </w:tc>
      </w:tr>
      <w:tr>
        <w:tc>
          <w:tcPr>
            <w:tcW w:type="dxa" w:w="8035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22"/>
              <w:jc w:val="left"/>
            </w:pPr>
            <w:r>
              <w:rPr>
                <w:rFonts w:ascii="Liberation Sans" w:hAnsi="Liberation Sans"/>
                <w:b/>
                <w:color w:val="52606F"/>
                <w:sz w:val="17"/>
              </w:rPr>
              <w:t>Senior Graphic Artist, Trial Graphics Support</w:t>
            </w:r>
          </w:p>
        </w:tc>
        <w:tc>
          <w:tcPr>
            <w:tcW w:type="dxa" w:w="2419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08"/>
              <w:jc w:val="right"/>
            </w:pPr>
            <w:r>
              <w:rPr>
                <w:rFonts w:ascii="Liberation Sans" w:hAnsi="Liberation Sans"/>
                <w:b/>
                <w:color w:val="52606F"/>
                <w:sz w:val="16"/>
              </w:rPr>
              <w:t>2013-2016</w:t>
            </w:r>
          </w:p>
        </w:tc>
      </w:tr>
    </w:tbl>
    <w:p>
      <w:pPr>
        <w:pStyle w:val="ListBullet"/>
        <w:keepNext/>
        <w:spacing w:before="0" w:after="5" w:lineRule="exact" w:line="231"/>
        <w:ind w:left="259" w:hanging="187"/>
      </w:pPr>
      <w:r>
        <w:rPr>
          <w:rFonts w:ascii="Liberation Sans" w:hAnsi="Liberation Sans"/>
          <w:b w:val="0"/>
          <w:color w:val="52606F"/>
          <w:sz w:val="17"/>
        </w:rPr>
        <w:t>Created high-stakes presentations, information graphics, video, publications, signage, and large-format courtroom materials that made complex evidence understandable and persuasive.</w:t>
      </w:r>
    </w:p>
    <w:p>
      <w:pPr>
        <w:pStyle w:val="ListBullet"/>
        <w:keepNext w:val="0"/>
        <w:spacing w:before="0" w:after="5" w:lineRule="exact" w:line="231"/>
        <w:ind w:left="259" w:hanging="187"/>
      </w:pPr>
      <w:r>
        <w:rPr>
          <w:rFonts w:ascii="Liberation Sans" w:hAnsi="Liberation Sans"/>
          <w:b w:val="0"/>
          <w:color w:val="52606F"/>
          <w:sz w:val="17"/>
        </w:rPr>
        <w:t>Advised case teams on visual strategy while managing confidential rapid-turn production, exacting review cycles, and rigorous final quality.</w:t>
      </w:r>
    </w:p>
    <w:p>
      <w:pPr>
        <w:spacing w:after="200" w:line="2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8035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44"/>
              <w:jc w:val="left"/>
            </w:pPr>
            <w:r>
              <w:rPr>
                <w:rFonts w:ascii="Liberation Sans" w:hAnsi="Liberation Sans"/>
                <w:b/>
                <w:color w:val="0B1B30"/>
                <w:sz w:val="20"/>
              </w:rPr>
              <w:t>STRIBLING AND ASSOCIATES, NOW COMPASS</w:t>
            </w:r>
          </w:p>
        </w:tc>
        <w:tc>
          <w:tcPr>
            <w:tcW w:type="dxa" w:w="2419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08"/>
              <w:jc w:val="right"/>
            </w:pPr>
            <w:r>
              <w:rPr>
                <w:rFonts w:ascii="Liberation Sans" w:hAnsi="Liberation Sans"/>
                <w:b/>
                <w:color w:val="52606F"/>
                <w:sz w:val="16"/>
              </w:rPr>
              <w:t>New York, NY</w:t>
            </w:r>
          </w:p>
        </w:tc>
      </w:tr>
      <w:tr>
        <w:tc>
          <w:tcPr>
            <w:tcW w:type="dxa" w:w="8035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22"/>
              <w:jc w:val="left"/>
            </w:pPr>
            <w:r>
              <w:rPr>
                <w:rFonts w:ascii="Liberation Sans" w:hAnsi="Liberation Sans"/>
                <w:b/>
                <w:color w:val="52606F"/>
                <w:sz w:val="17"/>
              </w:rPr>
              <w:t>Art Director / Senior Designer</w:t>
            </w:r>
          </w:p>
        </w:tc>
        <w:tc>
          <w:tcPr>
            <w:tcW w:type="dxa" w:w="2419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08"/>
              <w:jc w:val="right"/>
            </w:pPr>
            <w:r>
              <w:rPr>
                <w:rFonts w:ascii="Liberation Sans" w:hAnsi="Liberation Sans"/>
                <w:b/>
                <w:color w:val="52606F"/>
                <w:sz w:val="16"/>
              </w:rPr>
              <w:t>2012-2013</w:t>
            </w:r>
          </w:p>
        </w:tc>
      </w:tr>
    </w:tbl>
    <w:p>
      <w:pPr>
        <w:pStyle w:val="ListBullet"/>
        <w:keepNext/>
        <w:spacing w:before="0" w:after="5" w:lineRule="exact" w:line="231"/>
        <w:ind w:left="259" w:hanging="187"/>
      </w:pPr>
      <w:r>
        <w:rPr>
          <w:rFonts w:ascii="Liberation Sans" w:hAnsi="Liberation Sans"/>
          <w:b w:val="0"/>
          <w:color w:val="52606F"/>
          <w:sz w:val="17"/>
        </w:rPr>
        <w:t>Directed designers and vendors across brand campaigns, websites, digital content, photography, video, print, and presentations for a premium multi-office real estate firm.</w:t>
      </w:r>
    </w:p>
    <w:p>
      <w:pPr>
        <w:pStyle w:val="ListBullet"/>
        <w:keepNext w:val="0"/>
        <w:spacing w:before="0" w:after="5" w:lineRule="exact" w:line="231"/>
        <w:ind w:left="259" w:hanging="187"/>
      </w:pPr>
      <w:r>
        <w:rPr>
          <w:rFonts w:ascii="Liberation Sans" w:hAnsi="Liberation Sans"/>
          <w:b w:val="0"/>
          <w:color w:val="52606F"/>
          <w:sz w:val="17"/>
        </w:rPr>
        <w:t>Managed budgets and production partners, launched a Brooklyn office campaign, and introduced digital-screen advertising across neighborhood offices.</w:t>
      </w:r>
    </w:p>
    <w:p>
      <w:pPr>
        <w:spacing w:after="200" w:line="2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8035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44"/>
              <w:jc w:val="left"/>
            </w:pPr>
            <w:r>
              <w:rPr>
                <w:rFonts w:ascii="Liberation Sans" w:hAnsi="Liberation Sans"/>
                <w:b/>
                <w:color w:val="0B1B30"/>
                <w:sz w:val="20"/>
              </w:rPr>
              <w:t>BALLARD SPAHR LLP</w:t>
            </w:r>
          </w:p>
        </w:tc>
        <w:tc>
          <w:tcPr>
            <w:tcW w:type="dxa" w:w="2419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08"/>
              <w:jc w:val="right"/>
            </w:pPr>
            <w:r>
              <w:rPr>
                <w:rFonts w:ascii="Liberation Sans" w:hAnsi="Liberation Sans"/>
                <w:b/>
                <w:color w:val="52606F"/>
                <w:sz w:val="16"/>
              </w:rPr>
              <w:t>Philadelphia, PA</w:t>
            </w:r>
          </w:p>
        </w:tc>
      </w:tr>
      <w:tr>
        <w:tc>
          <w:tcPr>
            <w:tcW w:type="dxa" w:w="8035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22"/>
              <w:jc w:val="left"/>
            </w:pPr>
            <w:r>
              <w:rPr>
                <w:rFonts w:ascii="Liberation Sans" w:hAnsi="Liberation Sans"/>
                <w:b/>
                <w:color w:val="52606F"/>
                <w:sz w:val="17"/>
              </w:rPr>
              <w:t>Senior Designer</w:t>
            </w:r>
          </w:p>
        </w:tc>
        <w:tc>
          <w:tcPr>
            <w:tcW w:type="dxa" w:w="2419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spacing w:before="0" w:after="0" w:lineRule="exact" w:line="208"/>
              <w:jc w:val="right"/>
            </w:pPr>
            <w:r>
              <w:rPr>
                <w:rFonts w:ascii="Liberation Sans" w:hAnsi="Liberation Sans"/>
                <w:b/>
                <w:color w:val="52606F"/>
                <w:sz w:val="16"/>
              </w:rPr>
              <w:t>2009-2012</w:t>
            </w:r>
          </w:p>
        </w:tc>
      </w:tr>
    </w:tbl>
    <w:p>
      <w:pPr>
        <w:pStyle w:val="ListBullet"/>
        <w:keepNext/>
        <w:spacing w:before="0" w:after="5" w:lineRule="exact" w:line="231"/>
        <w:ind w:left="259" w:hanging="187"/>
      </w:pPr>
      <w:r>
        <w:rPr>
          <w:rFonts w:ascii="Liberation Sans" w:hAnsi="Liberation Sans"/>
          <w:b w:val="0"/>
          <w:color w:val="52606F"/>
          <w:sz w:val="17"/>
        </w:rPr>
        <w:t>Led national brand and promotional work across 13 offices, spanning campaigns, presentations, publications, advertising, events, web content, photography, and design systems.</w:t>
      </w:r>
    </w:p>
    <w:p>
      <w:pPr>
        <w:pStyle w:val="ListBullet"/>
        <w:keepNext w:val="0"/>
        <w:spacing w:before="0" w:after="5" w:lineRule="exact" w:line="231"/>
        <w:ind w:left="259" w:hanging="187"/>
      </w:pPr>
      <w:r>
        <w:rPr>
          <w:rFonts w:ascii="Liberation Sans" w:hAnsi="Liberation Sans"/>
          <w:b w:val="0"/>
          <w:color w:val="52606F"/>
          <w:sz w:val="17"/>
        </w:rPr>
        <w:t>Supervised junior designers, managed production workflows, and protected brand consistency across offices and channels.</w:t>
      </w:r>
    </w:p>
    <w:p>
      <w:pPr>
        <w:spacing w:after="100" w:line="2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tcMar>
              <w:top w:w="0" w:type="dxa"/>
              <w:start w:w="0" w:type="dxa"/>
              <w:bottom w:w="60" w:type="dxa"/>
              <w:end w:w="0" w:type="dxa"/>
            </w:tcMar>
            <w:tcBorders>
              <w:bottom w:val="single" w:sz="9" w:color="DEDEDB"/>
            </w:tcBorders>
          </w:tcPr>
          <w:p>
            <w:pPr>
              <w:keepNext/>
              <w:spacing w:before="80" w:after="100" w:lineRule="exact" w:line="230"/>
            </w:pPr>
            <w:r>
              <w:rPr>
                <w:rFonts w:ascii="Liberation Sans" w:hAnsi="Liberation Sans"/>
                <w:b/>
                <w:color w:val="0B1B30"/>
                <w:sz w:val="18"/>
              </w:rPr>
              <w:t>SELECTED LEADERSHIP</w:t>
            </w:r>
          </w:p>
        </w:tc>
      </w:tr>
    </w:tbl>
    <w:p>
      <w:pPr>
        <w:keepNext w:val="0"/>
        <w:spacing w:before="0" w:after="40" w:lineRule="exact" w:line="238"/>
      </w:pPr>
      <w:r>
        <w:rPr>
          <w:rFonts w:ascii="Liberation Sans" w:hAnsi="Liberation Sans"/>
          <w:b w:val="0"/>
          <w:color w:val="52606F"/>
          <w:sz w:val="17"/>
        </w:rPr>
        <w:t>Complex information.</w:t>
      </w:r>
      <w:r>
        <w:rPr>
          <w:rFonts w:ascii="Liberation Sans" w:hAnsi="Liberation Sans"/>
          <w:b w:val="0"/>
          <w:color w:val="52606F"/>
          <w:sz w:val="17"/>
        </w:rPr>
        <w:t xml:space="preserve"> Executive dashboards, program timelines, technical diagrams, proposal graphics, and visual systems that help decision-makers understand priorities and dependencies.</w:t>
      </w:r>
    </w:p>
    <w:p>
      <w:pPr>
        <w:keepNext w:val="0"/>
        <w:spacing w:before="0" w:after="40" w:lineRule="exact" w:line="238"/>
      </w:pPr>
      <w:r>
        <w:rPr>
          <w:rFonts w:ascii="Liberation Sans" w:hAnsi="Liberation Sans"/>
          <w:b w:val="0"/>
          <w:color w:val="52606F"/>
          <w:sz w:val="17"/>
        </w:rPr>
        <w:t>Creative operations.</w:t>
      </w:r>
      <w:r>
        <w:rPr>
          <w:rFonts w:ascii="Liberation Sans" w:hAnsi="Liberation Sans"/>
          <w:b w:val="0"/>
          <w:color w:val="52606F"/>
          <w:sz w:val="17"/>
        </w:rPr>
        <w:t xml:space="preserve"> Clear briefs, review practices, templates, standards, asset structures, vendor direction, and quality control for distributed teams.</w:t>
      </w:r>
    </w:p>
    <w:p>
      <w:pPr>
        <w:keepNext w:val="0"/>
        <w:spacing w:before="0" w:after="40" w:lineRule="exact" w:line="238"/>
      </w:pPr>
      <w:r>
        <w:rPr>
          <w:rFonts w:ascii="Liberation Sans" w:hAnsi="Liberation Sans"/>
          <w:b w:val="0"/>
          <w:color w:val="52606F"/>
          <w:sz w:val="17"/>
        </w:rPr>
        <w:t>Motion and multimedia.</w:t>
      </w:r>
      <w:r>
        <w:rPr>
          <w:rFonts w:ascii="Liberation Sans" w:hAnsi="Liberation Sans"/>
          <w:b w:val="0"/>
          <w:color w:val="52606F"/>
          <w:sz w:val="17"/>
        </w:rPr>
        <w:t xml:space="preserve"> Storyboarding, animation, editing, audio, captions, and final delivery for technical and promotional content.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tcMar>
              <w:top w:w="0" w:type="dxa"/>
              <w:start w:w="0" w:type="dxa"/>
              <w:bottom w:w="60" w:type="dxa"/>
              <w:end w:w="0" w:type="dxa"/>
            </w:tcMar>
            <w:tcBorders>
              <w:bottom w:val="single" w:sz="9" w:color="DEDEDB"/>
            </w:tcBorders>
          </w:tcPr>
          <w:p>
            <w:pPr>
              <w:keepNext/>
              <w:spacing w:before="60" w:after="100" w:lineRule="exact" w:line="230"/>
            </w:pPr>
            <w:r>
              <w:rPr>
                <w:rFonts w:ascii="Liberation Sans" w:hAnsi="Liberation Sans"/>
                <w:b/>
                <w:color w:val="0B1B30"/>
                <w:sz w:val="18"/>
              </w:rPr>
              <w:t>TECHNICAL TOOLKIT</w:t>
            </w:r>
          </w:p>
        </w:tc>
      </w:tr>
    </w:tbl>
    <w:p>
      <w:pPr>
        <w:keepNext w:val="0"/>
        <w:spacing w:before="0" w:after="80" w:lineRule="exact" w:line="238"/>
      </w:pPr>
      <w:r>
        <w:rPr>
          <w:rFonts w:ascii="Liberation Sans" w:hAnsi="Liberation Sans"/>
          <w:b w:val="0"/>
          <w:color w:val="52606F"/>
          <w:sz w:val="17"/>
        </w:rPr>
        <w:t>Adobe InDesign, Illustrator, Photoshop, Acrobat, After Effects, Premiere Pro  /  Figma and Adobe XD  /  PowerPoint and Microsoft 365  /  SharePoint, Power BI, Webflow and WordPress  /  Brand systems, presentation design, information design, data visualization, motion, video, photography, production, and AI-assisted workflow design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tcMar>
              <w:top w:w="0" w:type="dxa"/>
              <w:start w:w="0" w:type="dxa"/>
              <w:bottom w:w="60" w:type="dxa"/>
              <w:end w:w="0" w:type="dxa"/>
            </w:tcMar>
            <w:tcBorders>
              <w:bottom w:val="single" w:sz="9" w:color="DEDEDB"/>
            </w:tcBorders>
          </w:tcPr>
          <w:p>
            <w:pPr>
              <w:keepNext/>
              <w:spacing w:before="60" w:after="100" w:lineRule="exact" w:line="230"/>
            </w:pPr>
            <w:r>
              <w:rPr>
                <w:rFonts w:ascii="Liberation Sans" w:hAnsi="Liberation Sans"/>
                <w:b/>
                <w:color w:val="0B1B30"/>
                <w:sz w:val="18"/>
              </w:rPr>
              <w:t>EDUCATION AND COMMUNITY LEADERSHIP</w:t>
            </w:r>
          </w:p>
        </w:tc>
      </w:tr>
    </w:tbl>
    <w:p>
      <w:pPr>
        <w:keepNext w:val="0"/>
        <w:spacing w:before="0" w:after="30" w:lineRule="exact" w:line="232"/>
      </w:pPr>
      <w:r>
        <w:rPr>
          <w:rFonts w:ascii="Liberation Sans" w:hAnsi="Liberation Sans"/>
          <w:b w:val="0"/>
          <w:color w:val="52606F"/>
          <w:sz w:val="17"/>
        </w:rPr>
        <w:t>Temple University, Philadelphia, PA</w:t>
      </w:r>
      <w:r>
        <w:rPr>
          <w:rFonts w:ascii="Liberation Sans" w:hAnsi="Liberation Sans"/>
          <w:b w:val="0"/>
          <w:color w:val="52606F"/>
          <w:sz w:val="17"/>
        </w:rPr>
        <w:t xml:space="preserve">  /  Bachelor of Arts, Art History  /  Minor in Graphic Design  /  2002</w:t>
      </w:r>
    </w:p>
    <w:p>
      <w:pPr>
        <w:keepNext w:val="0"/>
        <w:spacing w:before="0" w:after="60" w:lineRule="exact" w:line="232"/>
      </w:pPr>
      <w:r>
        <w:rPr>
          <w:rFonts w:ascii="Liberation Sans" w:hAnsi="Liberation Sans"/>
          <w:b w:val="0"/>
          <w:color w:val="52606F"/>
          <w:sz w:val="17"/>
        </w:rPr>
        <w:t>Timberlane Regional School District</w:t>
      </w:r>
      <w:r>
        <w:rPr>
          <w:rFonts w:ascii="Liberation Sans" w:hAnsi="Liberation Sans"/>
          <w:b w:val="0"/>
          <w:color w:val="52606F"/>
          <w:sz w:val="17"/>
        </w:rPr>
        <w:t xml:space="preserve">  /  Elected School Budget Committee Official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tcMar>
              <w:top w:w="0" w:type="dxa"/>
              <w:start w:w="0" w:type="dxa"/>
              <w:bottom w:w="60" w:type="dxa"/>
              <w:end w:w="0" w:type="dxa"/>
            </w:tcMar>
            <w:tcBorders>
              <w:bottom w:val="single" w:sz="9" w:color="DEDEDB"/>
            </w:tcBorders>
          </w:tcPr>
          <w:p>
            <w:pPr>
              <w:keepNext/>
              <w:spacing w:before="40" w:after="80" w:lineRule="exact" w:line="230"/>
            </w:pPr>
            <w:r>
              <w:rPr>
                <w:rFonts w:ascii="Liberation Sans" w:hAnsi="Liberation Sans"/>
                <w:b/>
                <w:color w:val="0B1B30"/>
                <w:sz w:val="18"/>
              </w:rPr>
              <w:t>SELECTED ORGANIZATIONS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742"/>
        <w:gridCol w:w="1742"/>
        <w:gridCol w:w="1742"/>
        <w:gridCol w:w="1742"/>
        <w:gridCol w:w="1742"/>
        <w:gridCol w:w="1742"/>
      </w:tblGrid>
      <w:tr>
        <w:tc>
          <w:tcPr>
            <w:tcW w:type="dxa" w:w="1742"/>
            <w:tcMar>
              <w:top w:w="105" w:type="dxa"/>
              <w:start w:w="20" w:type="dxa"/>
              <w:bottom w:w="105" w:type="dxa"/>
              <w:end w:w="20" w:type="dxa"/>
            </w:tcMar>
            <w:shd w:fill="F2F2F0"/>
            <w:tcBorders>
              <w:top w:val="single" w:sz="4" w:color="DEDEDB"/>
              <w:bottom w:val="single" w:sz="4" w:color="DEDEDB"/>
              <w:start w:val="single" w:sz="4" w:color="FFFFFF"/>
              <w:end w:val="single" w:sz="4" w:color="FFFFFF"/>
            </w:tcBorders>
          </w:tcPr>
          <w:p>
            <w:pPr>
              <w:keepNext w:val="0"/>
              <w:spacing w:before="0" w:after="0" w:lineRule="exact" w:line="180"/>
              <w:jc w:val="center"/>
            </w:pPr>
            <w:r>
              <w:rPr>
                <w:rFonts w:ascii="Liberation Sans" w:hAnsi="Liberation Sans"/>
                <w:b/>
                <w:color w:val="0B1B30"/>
                <w:sz w:val="14"/>
              </w:rPr>
              <w:t>DHS</w:t>
            </w:r>
          </w:p>
        </w:tc>
        <w:tc>
          <w:tcPr>
            <w:tcW w:type="dxa" w:w="1742"/>
            <w:tcMar>
              <w:top w:w="105" w:type="dxa"/>
              <w:start w:w="20" w:type="dxa"/>
              <w:bottom w:w="105" w:type="dxa"/>
              <w:end w:w="20" w:type="dxa"/>
            </w:tcMar>
            <w:shd w:fill="F2F2F0"/>
            <w:tcBorders>
              <w:top w:val="single" w:sz="4" w:color="DEDEDB"/>
              <w:bottom w:val="single" w:sz="4" w:color="DEDEDB"/>
              <w:start w:val="single" w:sz="4" w:color="FFFFFF"/>
              <w:end w:val="single" w:sz="4" w:color="FFFFFF"/>
            </w:tcBorders>
          </w:tcPr>
          <w:p>
            <w:pPr>
              <w:keepNext w:val="0"/>
              <w:spacing w:before="0" w:after="0" w:lineRule="exact" w:line="180"/>
              <w:jc w:val="center"/>
            </w:pPr>
            <w:r>
              <w:rPr>
                <w:rFonts w:ascii="Liberation Sans" w:hAnsi="Liberation Sans"/>
                <w:b/>
                <w:color w:val="0B1B30"/>
                <w:sz w:val="14"/>
              </w:rPr>
              <w:t>NTIA</w:t>
            </w:r>
          </w:p>
        </w:tc>
        <w:tc>
          <w:tcPr>
            <w:tcW w:type="dxa" w:w="1742"/>
            <w:tcMar>
              <w:top w:w="105" w:type="dxa"/>
              <w:start w:w="20" w:type="dxa"/>
              <w:bottom w:w="105" w:type="dxa"/>
              <w:end w:w="20" w:type="dxa"/>
            </w:tcMar>
            <w:shd w:fill="F2F2F0"/>
            <w:tcBorders>
              <w:top w:val="single" w:sz="4" w:color="DEDEDB"/>
              <w:bottom w:val="single" w:sz="4" w:color="DEDEDB"/>
              <w:start w:val="single" w:sz="4" w:color="FFFFFF"/>
              <w:end w:val="single" w:sz="4" w:color="FFFFFF"/>
            </w:tcBorders>
          </w:tcPr>
          <w:p>
            <w:pPr>
              <w:keepNext w:val="0"/>
              <w:spacing w:before="0" w:after="0" w:lineRule="exact" w:line="180"/>
              <w:jc w:val="center"/>
            </w:pPr>
            <w:r>
              <w:rPr>
                <w:rFonts w:ascii="Liberation Sans" w:hAnsi="Liberation Sans"/>
                <w:b/>
                <w:color w:val="0B1B30"/>
                <w:sz w:val="14"/>
              </w:rPr>
              <w:t>IRS</w:t>
            </w:r>
          </w:p>
        </w:tc>
        <w:tc>
          <w:tcPr>
            <w:tcW w:type="dxa" w:w="1742"/>
            <w:tcMar>
              <w:top w:w="105" w:type="dxa"/>
              <w:start w:w="20" w:type="dxa"/>
              <w:bottom w:w="105" w:type="dxa"/>
              <w:end w:w="20" w:type="dxa"/>
            </w:tcMar>
            <w:shd w:fill="F2F2F0"/>
            <w:tcBorders>
              <w:top w:val="single" w:sz="4" w:color="DEDEDB"/>
              <w:bottom w:val="single" w:sz="4" w:color="DEDEDB"/>
              <w:start w:val="single" w:sz="4" w:color="FFFFFF"/>
              <w:end w:val="single" w:sz="4" w:color="FFFFFF"/>
            </w:tcBorders>
          </w:tcPr>
          <w:p>
            <w:pPr>
              <w:keepNext w:val="0"/>
              <w:spacing w:before="0" w:after="0" w:lineRule="exact" w:line="180"/>
              <w:jc w:val="center"/>
            </w:pPr>
            <w:r>
              <w:rPr>
                <w:rFonts w:ascii="Liberation Sans" w:hAnsi="Liberation Sans"/>
                <w:b/>
                <w:color w:val="0B1B30"/>
                <w:sz w:val="14"/>
              </w:rPr>
              <w:t>U.S. ARMY</w:t>
            </w:r>
          </w:p>
        </w:tc>
        <w:tc>
          <w:tcPr>
            <w:tcW w:type="dxa" w:w="1742"/>
            <w:tcMar>
              <w:top w:w="105" w:type="dxa"/>
              <w:start w:w="20" w:type="dxa"/>
              <w:bottom w:w="105" w:type="dxa"/>
              <w:end w:w="20" w:type="dxa"/>
            </w:tcMar>
            <w:shd w:fill="F2F2F0"/>
            <w:tcBorders>
              <w:top w:val="single" w:sz="4" w:color="DEDEDB"/>
              <w:bottom w:val="single" w:sz="4" w:color="DEDEDB"/>
              <w:start w:val="single" w:sz="4" w:color="FFFFFF"/>
              <w:end w:val="single" w:sz="4" w:color="FFFFFF"/>
            </w:tcBorders>
          </w:tcPr>
          <w:p>
            <w:pPr>
              <w:keepNext w:val="0"/>
              <w:spacing w:before="0" w:after="0" w:lineRule="exact" w:line="180"/>
              <w:jc w:val="center"/>
            </w:pPr>
            <w:r>
              <w:rPr>
                <w:rFonts w:ascii="Liberation Sans" w:hAnsi="Liberation Sans"/>
                <w:b/>
                <w:color w:val="0B1B30"/>
                <w:sz w:val="14"/>
              </w:rPr>
              <w:t>PAUL WEISS</w:t>
            </w:r>
          </w:p>
        </w:tc>
        <w:tc>
          <w:tcPr>
            <w:tcW w:type="dxa" w:w="1742"/>
            <w:tcMar>
              <w:top w:w="105" w:type="dxa"/>
              <w:start w:w="20" w:type="dxa"/>
              <w:bottom w:w="105" w:type="dxa"/>
              <w:end w:w="20" w:type="dxa"/>
            </w:tcMar>
            <w:shd w:fill="F2F2F0"/>
            <w:tcBorders>
              <w:top w:val="single" w:sz="4" w:color="DEDEDB"/>
              <w:bottom w:val="single" w:sz="4" w:color="DEDEDB"/>
              <w:start w:val="single" w:sz="4" w:color="FFFFFF"/>
              <w:end w:val="single" w:sz="4" w:color="FFFFFF"/>
            </w:tcBorders>
          </w:tcPr>
          <w:p>
            <w:pPr>
              <w:keepNext w:val="0"/>
              <w:spacing w:before="0" w:after="0" w:lineRule="exact" w:line="180"/>
              <w:jc w:val="center"/>
            </w:pPr>
            <w:r>
              <w:rPr>
                <w:rFonts w:ascii="Liberation Sans" w:hAnsi="Liberation Sans"/>
                <w:b/>
                <w:color w:val="0B1B30"/>
                <w:sz w:val="14"/>
              </w:rPr>
              <w:t>STR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34" w:right="893" w:bottom="619" w:left="893" w:header="216" w:footer="24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5227"/>
      <w:gridCol w:w="5227"/>
    </w:tblGrid>
    <w:tr>
      <w:tc>
        <w:tcPr>
          <w:tcW w:type="dxa" w:w="9648"/>
          <w:tcMar>
            <w:top w:w="55" w:type="dxa"/>
            <w:start w:w="0" w:type="dxa"/>
            <w:bottom w:w="0" w:type="dxa"/>
            <w:end w:w="0" w:type="dxa"/>
          </w:tcMar>
          <w:tcBorders>
            <w:top w:val="single" w:sz="5" w:color="DEDEDB"/>
          </w:tcBorders>
        </w:tcPr>
        <w:p>
          <w:pPr>
            <w:keepNext w:val="0"/>
            <w:spacing w:before="0" w:after="0" w:lineRule="exact" w:line="160"/>
          </w:pPr>
          <w:r>
            <w:rPr>
              <w:rFonts w:ascii="Liberation Sans" w:hAnsi="Liberation Sans"/>
              <w:b/>
              <w:color w:val="52606F"/>
              <w:sz w:val="14"/>
            </w:rPr>
            <w:t>CREATIVE BEAN  /  creativebean.org</w:t>
          </w:r>
        </w:p>
      </w:tc>
      <w:tc>
        <w:tcPr>
          <w:tcW w:type="dxa" w:w="806"/>
          <w:tcMar>
            <w:top w:w="55" w:type="dxa"/>
            <w:start w:w="0" w:type="dxa"/>
            <w:bottom w:w="0" w:type="dxa"/>
            <w:end w:w="0" w:type="dxa"/>
          </w:tcMar>
          <w:tcBorders>
            <w:top w:val="single" w:sz="5" w:color="DEDEDB"/>
          </w:tcBorders>
        </w:tcPr>
        <w:p>
          <w:pPr>
            <w:keepNext w:val="0"/>
            <w:spacing w:before="0" w:after="0" w:lineRule="exact" w:line="160"/>
            <w:jc w:val="right"/>
          </w:pPr>
          <w:fldSimple w:instr="PAGE"/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Liberation Sans" w:hAnsi="Liberation Sans"/>
      <w:color w:val="52606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Lauren (Schlerf) Daly Professional Resume</dc:title>
  <dc:subject>Creative direction, art direction, and visual communications</dc:subject>
  <dc:creator>Lauren (Schlerf) Daly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